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Tattoo Aftercare with Second Skin Plaster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Initial Application (Done by Tattoo Artist)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Clean &amp; Dry: The artist cleans the tattoo and ensures the skin is dry.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Application: A second skin plaster is applied, creating a waterproof, breathable barrier. Leave on for 1–7 days (per artist’s instructions).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2. While Plaster Is On (Days 1–5)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Leave On: Keep the plaster on for 1–5 days (or as advised). Some artists may apply a second layer for up to 7 days.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 Tampering: Avoid peeling edges to prevent bacterial contamination.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Fluid Build-Up: Plasma/ink build-up under the plaster is normal. If it leaks or lifts significantly, contact us.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Hygiene: Shower normally (plaster is waterproof); pat dry gently. Avoid baths, swimming, or hot tubs.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3. Removing Second Skin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Timing: Remove after 1–5 days (per artist’s advice).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Method: Soak in warm water, peel slowly at a 45-degree angle.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Clean: Wash immediately with lukewarm water and fragrance-free soap (available at UK pharmacies).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4. Post-Removal Care (Days 6+)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Moisturise: Apply a thin layer of any healing tattoo aftercare cream discussed with your artist (we recommend Crocart Aftercare Balm) 2–3 times daily. Avoid over-moisturising.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Clean: Wash 2–3 times daily with lukewarm water and gentle soap. Pat dry or air dry.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Avoid Irritation: Don’t pick scabs or peeling skin. Wear loose cotton clothing.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Sun Protection: Avoid direct sunlight. Use SPF 50 (e.g., La Roche-Posay) after 2–4 weeks.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5. Things to Avoid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Soaking (baths, saunas, swimming) for 2–3 weeks.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Scratching or picking scabs.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Over-moisturising.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Tight or synthetic clothing (e.g., wool).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6. Warning Signs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Infection: Redness, swelling, warmth, pus, or bad odour. Contact us or NHS 111.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Allergic Reaction: Severe itching or rash under plaster. Remove gently and contact us or NHS 111.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Prolonged Healing: If not healing after 2–3 weeks, consult us or NHS 111.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7. UK-Specific Tips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Weather: The UK’s damp, cold climate may slow healing. Keep the tattoo warm and dry.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Regulation: Our artists are council-licensed. Follow their tailored advice.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8. Healing Timeline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Days 1–5: Plaster on; tattoo may ooze and feel tender.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Days 6–14: Peeling or flaking after removal. Clean and apply artist-recommended healing tattoo aftercare cream (we recommend Crocart Aftercare Balm).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Weeks 2–4: Surface heals; continue care, avoid sun.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1–3 Months: Full healing; use SPF 50 for longevity.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9. Additional Notes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Follow our artist’s specific advice for your tattoo’s size and location.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Questions? Contact our studio.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